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449" w:rsidP="004E6428" w14:paraId="2959143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607871">
        <w:rPr>
          <w:rFonts w:ascii="Times New Roman" w:eastAsia="MS Mincho" w:hAnsi="Times New Roman"/>
          <w:b/>
          <w:sz w:val="26"/>
          <w:szCs w:val="26"/>
        </w:rPr>
        <w:t>1175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:rsidP="004E6428" w14:paraId="59695C0B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39FCF89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58063C">
        <w:rPr>
          <w:rFonts w:ascii="Times New Roman" w:eastAsia="MS Mincho" w:hAnsi="Times New Roman"/>
          <w:sz w:val="26"/>
          <w:szCs w:val="26"/>
        </w:rPr>
        <w:t xml:space="preserve">2 октября </w:t>
      </w:r>
      <w:r w:rsidRPr="005E672A" w:rsid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38D8EC6E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5E672A" w14:paraId="74F3074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415E40" w:rsidRPr="006247EC" w:rsidP="00415E40" w14:paraId="2A6C4940" w14:textId="166144DB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Душа Романа</w:t>
      </w:r>
      <w:r w:rsidR="0058063C">
        <w:rPr>
          <w:rFonts w:eastAsia="MS Mincho"/>
          <w:sz w:val="26"/>
          <w:szCs w:val="26"/>
        </w:rPr>
        <w:t xml:space="preserve">, </w:t>
      </w:r>
      <w:r w:rsidR="00B374DF">
        <w:rPr>
          <w:rFonts w:eastAsia="MS Mincho"/>
          <w:sz w:val="26"/>
          <w:szCs w:val="26"/>
        </w:rPr>
        <w:t>---</w:t>
      </w:r>
      <w:r w:rsidRPr="006247EC">
        <w:rPr>
          <w:rFonts w:eastAsia="MS Mincho"/>
          <w:sz w:val="26"/>
          <w:szCs w:val="26"/>
        </w:rPr>
        <w:t>,</w:t>
      </w:r>
    </w:p>
    <w:p w:rsidR="00640449" w:rsidRPr="005E672A" w:rsidP="00B64EF9" w14:paraId="1742F74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7F159FF4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7BA65E2E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3878055F" w14:textId="6C1BE8E2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415E40">
        <w:rPr>
          <w:rFonts w:eastAsia="MS Mincho"/>
          <w:sz w:val="26"/>
          <w:szCs w:val="26"/>
        </w:rPr>
        <w:t>Душа Р.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415E40">
        <w:rPr>
          <w:rFonts w:eastAsia="MS Mincho"/>
          <w:sz w:val="26"/>
          <w:szCs w:val="26"/>
        </w:rPr>
        <w:t>22.09.2025 в 12 часов 40 минут на 19 км. автодороги «Тюмень-Тобольск-Ханты-Мансийск подъезд к г. Сургуту» в Нефтеюганском районе Ханты-Мансийского автономного округа-Югры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415E40">
        <w:rPr>
          <w:rFonts w:eastAsia="MS Mincho"/>
          <w:sz w:val="26"/>
          <w:szCs w:val="26"/>
        </w:rPr>
        <w:t>КИА Спортейдж</w:t>
      </w:r>
      <w:r w:rsidR="00771B58">
        <w:rPr>
          <w:rFonts w:eastAsia="MS Mincho"/>
          <w:sz w:val="26"/>
          <w:szCs w:val="26"/>
        </w:rPr>
        <w:t xml:space="preserve"> г.н. </w:t>
      </w:r>
      <w:r w:rsidR="00B374DF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771B58" w:rsidP="007E5E66" w14:paraId="6F72CE5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771B58" w:rsidRPr="00771B58" w:rsidP="00771B58" w14:paraId="22622490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Душа Р.</w:t>
      </w:r>
      <w:r w:rsidR="0058063C">
        <w:rPr>
          <w:rFonts w:eastAsia="MS Mincho"/>
          <w:sz w:val="26"/>
          <w:szCs w:val="26"/>
        </w:rPr>
        <w:t xml:space="preserve"> извещен </w:t>
      </w:r>
      <w:r w:rsidRPr="00771B58">
        <w:rPr>
          <w:rFonts w:eastAsia="MS Mincho"/>
          <w:sz w:val="26"/>
          <w:szCs w:val="26"/>
        </w:rPr>
        <w:t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7412AE">
        <w:rPr>
          <w:rFonts w:eastAsia="MS Mincho"/>
          <w:sz w:val="26"/>
          <w:szCs w:val="26"/>
        </w:rPr>
        <w:t>, вину признал, просил рассмотреть дело в его отсутствие</w:t>
      </w:r>
      <w:r w:rsidRPr="00771B58">
        <w:rPr>
          <w:rFonts w:eastAsia="MS Mincho"/>
          <w:sz w:val="26"/>
          <w:szCs w:val="26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771B58" w:rsidP="007E5E66" w14:paraId="2A217D0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Мировым судьей изучены </w:t>
      </w:r>
      <w:r w:rsidRPr="00771B58" w:rsidR="00B106E9">
        <w:rPr>
          <w:rFonts w:eastAsia="MS Mincho"/>
          <w:sz w:val="26"/>
          <w:szCs w:val="26"/>
        </w:rPr>
        <w:t>представленные доказательства</w:t>
      </w:r>
      <w:r w:rsidRPr="00771B58" w:rsidR="00CF056D">
        <w:rPr>
          <w:rFonts w:eastAsia="MS Mincho"/>
          <w:sz w:val="26"/>
          <w:szCs w:val="26"/>
        </w:rPr>
        <w:t>,</w:t>
      </w:r>
      <w:r w:rsidRPr="00771B58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61C76CA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415E40">
        <w:rPr>
          <w:rFonts w:ascii="Times New Roman" w:eastAsia="MS Mincho" w:hAnsi="Times New Roman"/>
          <w:sz w:val="26"/>
          <w:szCs w:val="26"/>
        </w:rPr>
        <w:t>Душа Р.</w:t>
      </w:r>
      <w:r w:rsidRPr="00771B58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771B58" w:rsidR="008273C7">
        <w:rPr>
          <w:rFonts w:ascii="Times New Roman" w:eastAsia="MS Mincho" w:hAnsi="Times New Roman"/>
          <w:sz w:val="26"/>
          <w:szCs w:val="26"/>
        </w:rPr>
        <w:t xml:space="preserve">, </w:t>
      </w:r>
      <w:r w:rsidRPr="00771B58" w:rsidR="005E672A">
        <w:rPr>
          <w:rFonts w:ascii="Times New Roman" w:eastAsia="MS Mincho" w:hAnsi="Times New Roman"/>
          <w:sz w:val="26"/>
          <w:szCs w:val="26"/>
        </w:rPr>
        <w:t xml:space="preserve">заявил что не </w:t>
      </w:r>
      <w:r w:rsidR="00415E40">
        <w:rPr>
          <w:rFonts w:ascii="Times New Roman" w:eastAsia="MS Mincho" w:hAnsi="Times New Roman"/>
          <w:sz w:val="26"/>
          <w:szCs w:val="26"/>
        </w:rPr>
        <w:t>вовремя заметил знак  не перестроился из-за другой машины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AE37C8" w:rsidRPr="00771B58" w:rsidP="00AE37C8" w14:paraId="3A9F67E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415E40">
        <w:rPr>
          <w:rFonts w:ascii="Times New Roman" w:eastAsia="MS Mincho" w:hAnsi="Times New Roman"/>
          <w:sz w:val="26"/>
          <w:szCs w:val="26"/>
        </w:rPr>
        <w:t>Душа Р.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1062F09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3EB40C7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415E40" w:rsidRPr="006247EC" w:rsidP="00415E40" w14:paraId="1C4E517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разметки 1.1, в данной зоне автомобиль осуществлял движение по встречной полосе дороги).</w:t>
      </w:r>
    </w:p>
    <w:p w:rsidR="00FA640E" w:rsidRPr="00771B58" w:rsidP="00316F07" w14:paraId="0398638E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415E40">
        <w:rPr>
          <w:snapToGrid w:val="0"/>
          <w:sz w:val="26"/>
          <w:szCs w:val="26"/>
        </w:rPr>
        <w:t>Душа Р.</w:t>
      </w:r>
      <w:r w:rsidRPr="00771B58" w:rsidR="00B8320A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082FF4D6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32D07CB3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771B58" w:rsidP="007E5E66" w14:paraId="034CB965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771B58" w:rsidP="00476775" w14:paraId="31710D6B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591C7E6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352A905C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3CF0E9D2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0146F350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P="00A95C99" w14:paraId="19F0E542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15E40" w:rsidRPr="00771B58" w:rsidP="00A95C99" w14:paraId="4997DA5C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Заявленные причины нарушения не освобождают от ответственности.</w:t>
      </w:r>
    </w:p>
    <w:p w:rsidR="00A95C99" w:rsidRPr="005E672A" w:rsidP="00A95C99" w14:paraId="61A0E867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7500AC01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5E672A">
        <w:rPr>
          <w:sz w:val="26"/>
          <w:szCs w:val="26"/>
        </w:rPr>
        <w:t>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35D3947B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</w:t>
      </w:r>
      <w:r w:rsidR="0058063C">
        <w:rPr>
          <w:sz w:val="26"/>
          <w:szCs w:val="26"/>
        </w:rPr>
        <w:t>в том числе 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10F3FEB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7B805A25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415E40" w:rsidRPr="006247EC" w:rsidP="00415E40" w14:paraId="060F343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105284FD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640449" w:rsidRPr="005E672A" w:rsidP="005E672A" w14:paraId="48C48612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3658482A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73D5551C" w14:textId="77777777">
      <w:pPr>
        <w:rPr>
          <w:rFonts w:eastAsia="MS Mincho"/>
          <w:b/>
          <w:sz w:val="16"/>
          <w:szCs w:val="16"/>
        </w:rPr>
      </w:pPr>
    </w:p>
    <w:p w:rsidR="00415E40" w:rsidRPr="006247EC" w:rsidP="00415E40" w14:paraId="5A2F1BEA" w14:textId="77777777">
      <w:pPr>
        <w:ind w:firstLine="708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>
        <w:rPr>
          <w:rFonts w:eastAsia="MS Mincho"/>
          <w:sz w:val="26"/>
          <w:szCs w:val="26"/>
        </w:rPr>
        <w:t>Душа Романа</w:t>
      </w:r>
      <w:r w:rsidR="0058063C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</w:t>
      </w:r>
      <w:r w:rsidRPr="00640449">
        <w:rPr>
          <w:rFonts w:eastAsia="MS Mincho"/>
          <w:sz w:val="26"/>
          <w:szCs w:val="26"/>
        </w:rPr>
        <w:t>который необходимо перечислить на счет:</w:t>
      </w:r>
      <w:r w:rsidRPr="0064044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E9DBD7B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5C4ECCE1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5616AAA7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62ADC122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447AF857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3C96079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77F9BE8B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3ED725A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5ECCF5A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15C1694E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430FCC6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5020CF6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C02F597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37F1825E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4723305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375E39E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0894763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428856C7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797C1C9F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5CA9D74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7AB47F14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267881E4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2962F16E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53D4D191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15E40" w:rsidRPr="006247EC" w:rsidP="00415E40" w14:paraId="781BD5F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>
        <w:rPr>
          <w:sz w:val="26"/>
          <w:szCs w:val="26"/>
        </w:rPr>
        <w:t>42593</w:t>
      </w:r>
    </w:p>
    <w:p w:rsidR="00415E40" w:rsidRPr="006247EC" w:rsidP="00415E40" w14:paraId="5EECC2F7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15E40" w:rsidRPr="006247EC" w:rsidP="00415E40" w14:paraId="3C00745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15E40" w:rsidRPr="006247EC" w:rsidP="00415E40" w14:paraId="787C1C0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15E40" w:rsidRPr="006247EC" w:rsidP="00415E40" w14:paraId="4C4CEE85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15E40" w:rsidRPr="006247EC" w:rsidP="00415E40" w14:paraId="3E674F64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415E40" w:rsidRPr="006247EC" w:rsidP="00415E40" w14:paraId="1C5D7876" w14:textId="343565AE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B374DF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415E40" w:rsidP="00415E40" w14:paraId="2A21A43A" w14:textId="05C224CF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51473"/>
    <w:rsid w:val="000711E6"/>
    <w:rsid w:val="000A195A"/>
    <w:rsid w:val="000B4E98"/>
    <w:rsid w:val="000C7F38"/>
    <w:rsid w:val="000D46E9"/>
    <w:rsid w:val="000D508B"/>
    <w:rsid w:val="000D77E1"/>
    <w:rsid w:val="000E520B"/>
    <w:rsid w:val="000F780F"/>
    <w:rsid w:val="00112FB8"/>
    <w:rsid w:val="00117B83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C53AA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2F7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15E40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16C82"/>
    <w:rsid w:val="005213FA"/>
    <w:rsid w:val="00525878"/>
    <w:rsid w:val="0052601C"/>
    <w:rsid w:val="00544CC1"/>
    <w:rsid w:val="00547837"/>
    <w:rsid w:val="00563A39"/>
    <w:rsid w:val="0056532F"/>
    <w:rsid w:val="00575435"/>
    <w:rsid w:val="0058063C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07871"/>
    <w:rsid w:val="006147F7"/>
    <w:rsid w:val="006227BE"/>
    <w:rsid w:val="006247EC"/>
    <w:rsid w:val="0062644F"/>
    <w:rsid w:val="00626EC0"/>
    <w:rsid w:val="00634EDB"/>
    <w:rsid w:val="00637E70"/>
    <w:rsid w:val="00640449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412AE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7C"/>
    <w:rsid w:val="007B20FE"/>
    <w:rsid w:val="007D08BA"/>
    <w:rsid w:val="007D5678"/>
    <w:rsid w:val="007E4754"/>
    <w:rsid w:val="007E5E66"/>
    <w:rsid w:val="007F0648"/>
    <w:rsid w:val="007F5FE3"/>
    <w:rsid w:val="007F70E8"/>
    <w:rsid w:val="00820B5D"/>
    <w:rsid w:val="00823D80"/>
    <w:rsid w:val="008273C7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74DF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B3829"/>
    <w:rsid w:val="00BC7AE0"/>
    <w:rsid w:val="00BD29CD"/>
    <w:rsid w:val="00BD452C"/>
    <w:rsid w:val="00BD4685"/>
    <w:rsid w:val="00BE624C"/>
    <w:rsid w:val="00C01830"/>
    <w:rsid w:val="00C079EC"/>
    <w:rsid w:val="00C15EDA"/>
    <w:rsid w:val="00C178FB"/>
    <w:rsid w:val="00C20D5A"/>
    <w:rsid w:val="00C22039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  <w:style w:type="character" w:customStyle="1" w:styleId="2">
    <w:name w:val="Основной текст (2)_"/>
    <w:basedOn w:val="DefaultParagraphFont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803D-8E32-4A9A-BC31-C043D019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